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 xml:space="preserve">ená dle </w:t>
      </w:r>
      <w:proofErr w:type="spellStart"/>
      <w:r w:rsidR="00B61553">
        <w:rPr>
          <w:rFonts w:ascii="Calibri" w:hAnsi="Calibri"/>
          <w:sz w:val="22"/>
          <w:szCs w:val="22"/>
        </w:rPr>
        <w:t>ust</w:t>
      </w:r>
      <w:proofErr w:type="spellEnd"/>
      <w:r w:rsidR="00B61553">
        <w:rPr>
          <w:rFonts w:ascii="Calibri" w:hAnsi="Calibri"/>
          <w:sz w:val="22"/>
          <w:szCs w:val="22"/>
        </w:rPr>
        <w:t>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9C641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36C8789" w14:textId="2407F116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</w:p>
    <w:p w14:paraId="459843B3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</w:p>
    <w:p w14:paraId="7D69F4F4" w14:textId="77777777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</w:p>
    <w:p w14:paraId="64E7270E" w14:textId="77777777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2D22C04" w14:textId="77777777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v obchodním rejstříku vedeném u Krajského soudu </w:t>
      </w:r>
      <w:proofErr w:type="gramStart"/>
      <w:r w:rsidR="00A72744" w:rsidRPr="00A94A7A">
        <w:rPr>
          <w:rFonts w:ascii="Calibri" w:hAnsi="Calibri"/>
          <w:sz w:val="22"/>
          <w:szCs w:val="22"/>
        </w:rPr>
        <w:t>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,</w:t>
      </w:r>
      <w:proofErr w:type="gramEnd"/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23EF4675" w14:textId="77777777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, vložka </w:t>
      </w:r>
    </w:p>
    <w:p w14:paraId="2D6EC867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787/1a, 639 00 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C90792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</w:p>
    <w:p w14:paraId="22E4DAEA" w14:textId="77777777" w:rsidR="00C46E9D" w:rsidRPr="00861080" w:rsidRDefault="00C46E9D" w:rsidP="00C46E9D">
      <w:pPr>
        <w:ind w:left="2127" w:firstLine="283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>Ing. Romanem Nekulou, MBA, správním ředitelem</w:t>
      </w:r>
    </w:p>
    <w:p w14:paraId="40AF0638" w14:textId="77777777" w:rsidR="00C46E9D" w:rsidRPr="00861080" w:rsidRDefault="00C46E9D" w:rsidP="00C46E9D">
      <w:pPr>
        <w:ind w:left="2410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>Ing. Lukášem Přichystalem, MBA, vedoucím střediska správy telematických systémů</w:t>
      </w:r>
    </w:p>
    <w:p w14:paraId="158E6990" w14:textId="77777777" w:rsidR="00C46E9D" w:rsidRPr="00A94A7A" w:rsidRDefault="00C46E9D" w:rsidP="00C46E9D">
      <w:pPr>
        <w:ind w:left="2127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 xml:space="preserve">     Janem Matouškem, vedoucím referátu – hlavní dispečer</w:t>
      </w:r>
    </w:p>
    <w:p w14:paraId="13747D47" w14:textId="77777777" w:rsidR="00C46E9D" w:rsidRDefault="00C46E9D" w:rsidP="00C46E9D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středisko 3300 – středisko správy telematických systémů</w:t>
      </w:r>
    </w:p>
    <w:p w14:paraId="76F6B69A" w14:textId="77777777" w:rsidR="00C46E9D" w:rsidRPr="00A94A7A" w:rsidRDefault="00C46E9D" w:rsidP="00C46E9D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287E4CCF" w:rsidR="000677DE" w:rsidRPr="00A94A7A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smlouvy je dodávka</w:t>
      </w:r>
      <w:r w:rsidR="00C46E9D" w:rsidRPr="00861080">
        <w:rPr>
          <w:rFonts w:ascii="Calibri" w:hAnsi="Calibri"/>
          <w:sz w:val="22"/>
          <w:szCs w:val="22"/>
        </w:rPr>
        <w:t xml:space="preserve"> a realizace půlkruhových ergonomických dispečinkových pracovišť na Centrálním technickém dispečinku společnosti Brněnské komunikace a.s. včetně virtualizace a integrace stávajících systémů na operátorské stanoviště</w:t>
      </w:r>
      <w:r w:rsidR="00986C68" w:rsidRPr="00A94A7A">
        <w:rPr>
          <w:rFonts w:ascii="Calibri" w:hAnsi="Calibri"/>
          <w:sz w:val="22"/>
          <w:szCs w:val="22"/>
        </w:rPr>
        <w:t xml:space="preserve">, a to </w:t>
      </w:r>
      <w:r>
        <w:rPr>
          <w:rFonts w:ascii="Calibri" w:hAnsi="Calibri"/>
          <w:sz w:val="22"/>
          <w:szCs w:val="22"/>
        </w:rPr>
        <w:t>na základě</w:t>
      </w:r>
      <w:r w:rsidR="00AD1C37">
        <w:rPr>
          <w:rFonts w:ascii="Calibri" w:hAnsi="Calibri"/>
          <w:sz w:val="22"/>
          <w:szCs w:val="22"/>
        </w:rPr>
        <w:t xml:space="preserve"> podmínek uvedených v této</w:t>
      </w:r>
      <w:r>
        <w:rPr>
          <w:rFonts w:ascii="Calibri" w:hAnsi="Calibri"/>
          <w:sz w:val="22"/>
          <w:szCs w:val="22"/>
        </w:rPr>
        <w:t xml:space="preserve"> smlouvě a rovněž </w:t>
      </w:r>
      <w:r w:rsidRPr="00C46E9D">
        <w:rPr>
          <w:rFonts w:ascii="Calibri" w:hAnsi="Calibri"/>
          <w:sz w:val="22"/>
          <w:szCs w:val="22"/>
        </w:rPr>
        <w:t>v souladu se zadávacími podmínkami</w:t>
      </w:r>
      <w:r w:rsidR="00986C68" w:rsidRPr="00C46E9D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C46E9D">
        <w:rPr>
          <w:rFonts w:ascii="Calibri" w:hAnsi="Calibri"/>
          <w:b/>
          <w:sz w:val="22"/>
          <w:szCs w:val="22"/>
        </w:rPr>
        <w:t xml:space="preserve"> </w:t>
      </w:r>
      <w:r w:rsidR="000677DE" w:rsidRPr="00C46E9D">
        <w:rPr>
          <w:rFonts w:ascii="Calibri" w:hAnsi="Calibri"/>
          <w:b/>
          <w:sz w:val="22"/>
          <w:szCs w:val="22"/>
        </w:rPr>
        <w:t>„</w:t>
      </w:r>
      <w:r w:rsidR="00C46E9D" w:rsidRPr="00C46E9D">
        <w:rPr>
          <w:rFonts w:ascii="Calibri" w:hAnsi="Calibri"/>
          <w:b/>
          <w:sz w:val="22"/>
          <w:szCs w:val="22"/>
        </w:rPr>
        <w:t xml:space="preserve">DODÁVKA A REALIZACE ERGONOMICKÝCH PRACOVIŠŤ </w:t>
      </w:r>
      <w:proofErr w:type="spellStart"/>
      <w:r w:rsidR="00C46E9D" w:rsidRPr="00C46E9D">
        <w:rPr>
          <w:rFonts w:ascii="Calibri" w:hAnsi="Calibri"/>
          <w:b/>
          <w:sz w:val="22"/>
          <w:szCs w:val="22"/>
        </w:rPr>
        <w:t>CTD</w:t>
      </w:r>
      <w:proofErr w:type="spellEnd"/>
      <w:r w:rsidR="00C46E9D" w:rsidRPr="00C46E9D">
        <w:rPr>
          <w:rFonts w:ascii="Calibri" w:hAnsi="Calibri"/>
          <w:b/>
          <w:sz w:val="22"/>
          <w:szCs w:val="22"/>
        </w:rPr>
        <w:t xml:space="preserve"> II.</w:t>
      </w:r>
      <w:r w:rsidR="00986C68" w:rsidRPr="00C46E9D">
        <w:rPr>
          <w:rFonts w:ascii="Calibri" w:hAnsi="Calibri"/>
          <w:b/>
          <w:sz w:val="22"/>
          <w:szCs w:val="22"/>
        </w:rPr>
        <w:t>“</w:t>
      </w:r>
      <w:r w:rsidR="00986C68" w:rsidRPr="00C46E9D">
        <w:rPr>
          <w:rFonts w:ascii="Calibri" w:hAnsi="Calibri"/>
          <w:sz w:val="22"/>
          <w:szCs w:val="22"/>
        </w:rPr>
        <w:t xml:space="preserve"> (dále</w:t>
      </w:r>
      <w:r w:rsidR="00FF1269">
        <w:rPr>
          <w:rFonts w:ascii="Calibri" w:hAnsi="Calibri"/>
          <w:sz w:val="22"/>
          <w:szCs w:val="22"/>
        </w:rPr>
        <w:t xml:space="preserve"> jen</w:t>
      </w:r>
      <w:r w:rsidR="00986C68" w:rsidRPr="00A94A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„předmět koupě“</w:t>
      </w:r>
      <w:r w:rsidR="00FF1269">
        <w:rPr>
          <w:rFonts w:ascii="Calibri" w:hAnsi="Calibri"/>
          <w:sz w:val="22"/>
          <w:szCs w:val="22"/>
        </w:rPr>
        <w:t xml:space="preserve"> nebo „zboží“</w:t>
      </w:r>
      <w:r>
        <w:rPr>
          <w:rFonts w:ascii="Calibri" w:hAnsi="Calibri"/>
          <w:sz w:val="22"/>
          <w:szCs w:val="22"/>
        </w:rPr>
        <w:t>)</w:t>
      </w:r>
      <w:r w:rsidR="00986C68" w:rsidRPr="00A94A7A">
        <w:rPr>
          <w:rFonts w:ascii="Calibri" w:hAnsi="Calibri"/>
          <w:sz w:val="22"/>
          <w:szCs w:val="22"/>
        </w:rPr>
        <w:t>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4E0A00CD" w14:textId="0BEB5732" w:rsidR="000677DE" w:rsidRPr="00C46E9D" w:rsidRDefault="000677DE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Součástí dodávky je i technická dokumentace</w:t>
      </w:r>
      <w:r w:rsidR="00C46E9D" w:rsidRPr="00C46E9D">
        <w:rPr>
          <w:rFonts w:ascii="Calibri" w:hAnsi="Calibri"/>
          <w:sz w:val="22"/>
          <w:szCs w:val="22"/>
        </w:rPr>
        <w:t xml:space="preserve">, </w:t>
      </w:r>
      <w:r w:rsidR="004C0EF1" w:rsidRPr="00C46E9D">
        <w:rPr>
          <w:rFonts w:ascii="Calibri" w:hAnsi="Calibri"/>
          <w:sz w:val="22"/>
          <w:szCs w:val="22"/>
        </w:rPr>
        <w:t>návod k obsluze v českém jazyce</w:t>
      </w:r>
      <w:r w:rsidRPr="00C46E9D">
        <w:rPr>
          <w:rFonts w:ascii="Calibri" w:hAnsi="Calibri"/>
          <w:sz w:val="22"/>
          <w:szCs w:val="22"/>
        </w:rPr>
        <w:t>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79072F1C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3A74141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27F2CA8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3E12543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F5F5B53" w14:textId="77777777" w:rsidR="00C90792" w:rsidRPr="00E3619A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28F18634" w14:textId="3448FA86" w:rsidR="000677DE" w:rsidRPr="00E51D2E" w:rsidRDefault="000677DE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Celková</w:t>
      </w:r>
      <w:r w:rsidR="005923D7">
        <w:rPr>
          <w:rFonts w:ascii="Calibri" w:hAnsi="Calibri"/>
          <w:sz w:val="22"/>
          <w:szCs w:val="22"/>
        </w:rPr>
        <w:t xml:space="preserve"> kupní</w:t>
      </w:r>
      <w:r w:rsidRPr="00A94A7A">
        <w:rPr>
          <w:rFonts w:ascii="Calibri" w:hAnsi="Calibri"/>
          <w:sz w:val="22"/>
          <w:szCs w:val="22"/>
        </w:rPr>
        <w:t xml:space="preserve"> cena </w:t>
      </w:r>
      <w:r w:rsidR="005923D7">
        <w:rPr>
          <w:rFonts w:ascii="Calibri" w:hAnsi="Calibri"/>
          <w:sz w:val="22"/>
          <w:szCs w:val="22"/>
        </w:rPr>
        <w:t>zahrnuje</w:t>
      </w:r>
      <w:r w:rsidRPr="00A94A7A">
        <w:rPr>
          <w:rFonts w:ascii="Calibri" w:hAnsi="Calibri"/>
          <w:sz w:val="22"/>
          <w:szCs w:val="22"/>
        </w:rPr>
        <w:t xml:space="preserve"> i veškeré os</w:t>
      </w:r>
      <w:r w:rsidR="00E51D2E">
        <w:rPr>
          <w:rFonts w:ascii="Calibri" w:hAnsi="Calibri"/>
          <w:sz w:val="22"/>
          <w:szCs w:val="22"/>
        </w:rPr>
        <w:t>tatní náklady</w:t>
      </w:r>
      <w:r w:rsidR="005923D7">
        <w:rPr>
          <w:rFonts w:ascii="Calibri" w:hAnsi="Calibri"/>
          <w:sz w:val="22"/>
          <w:szCs w:val="22"/>
        </w:rPr>
        <w:t xml:space="preserve"> </w:t>
      </w:r>
      <w:r w:rsidR="005923D7" w:rsidRPr="00C46E9D">
        <w:rPr>
          <w:rFonts w:ascii="Calibri" w:hAnsi="Calibri"/>
          <w:sz w:val="22"/>
          <w:szCs w:val="22"/>
        </w:rPr>
        <w:t>prodávajícího</w:t>
      </w:r>
      <w:r w:rsidR="00E51D2E" w:rsidRPr="00C46E9D">
        <w:rPr>
          <w:rFonts w:ascii="Calibri" w:hAnsi="Calibri"/>
          <w:sz w:val="22"/>
          <w:szCs w:val="22"/>
        </w:rPr>
        <w:t xml:space="preserve"> včetně nákladů na dopravu předmětu koupě do místa plnění</w:t>
      </w:r>
      <w:r w:rsidR="00536C36" w:rsidRPr="00C46E9D">
        <w:rPr>
          <w:rFonts w:ascii="Calibri" w:hAnsi="Calibri"/>
          <w:sz w:val="22"/>
          <w:szCs w:val="22"/>
        </w:rPr>
        <w:t xml:space="preserve"> a </w:t>
      </w:r>
      <w:r w:rsidR="00C46E9D" w:rsidRPr="00C46E9D">
        <w:rPr>
          <w:rFonts w:ascii="Calibri" w:hAnsi="Calibri"/>
          <w:sz w:val="22"/>
          <w:szCs w:val="22"/>
        </w:rPr>
        <w:t>realizace</w:t>
      </w:r>
      <w:r w:rsidR="00536C36" w:rsidRPr="00C46E9D">
        <w:rPr>
          <w:rFonts w:ascii="Calibri" w:hAnsi="Calibri"/>
          <w:sz w:val="22"/>
          <w:szCs w:val="22"/>
        </w:rPr>
        <w:t xml:space="preserve"> v místě plnění.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77777777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C46E9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a sídlo prodávajícího a kupujícího</w:t>
      </w:r>
    </w:p>
    <w:p w14:paraId="49510B8E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Název projektu</w:t>
      </w:r>
    </w:p>
    <w:p w14:paraId="45353195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předmětu koupě</w:t>
      </w:r>
    </w:p>
    <w:p w14:paraId="24BC09A8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Číslo faktury</w:t>
      </w:r>
    </w:p>
    <w:p w14:paraId="5CCB346B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Fakturovanou částku</w:t>
      </w:r>
    </w:p>
    <w:p w14:paraId="6DEADF7D" w14:textId="77777777" w:rsidR="00536C36" w:rsidRPr="00C46E9D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9C6410">
      <w:pPr>
        <w:pStyle w:val="nadpisvesmlouvch"/>
        <w:keepNext/>
        <w:numPr>
          <w:ilvl w:val="0"/>
          <w:numId w:val="14"/>
        </w:numPr>
        <w:ind w:left="714" w:hanging="357"/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10C9F8F6" w:rsidR="00137FFA" w:rsidRPr="001172D3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se zavazuje </w:t>
      </w:r>
      <w:r w:rsidR="005B7B04" w:rsidRPr="00A94A7A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C46E9D">
        <w:rPr>
          <w:rFonts w:ascii="Calibri" w:hAnsi="Calibri"/>
          <w:sz w:val="22"/>
          <w:szCs w:val="22"/>
        </w:rPr>
        <w:t>31. 5. 2026</w:t>
      </w:r>
      <w:r w:rsidR="00234981" w:rsidRPr="00A94A7A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75909529" w:rsidR="00137FFA" w:rsidRPr="00C46E9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Za místo</w:t>
      </w:r>
      <w:r w:rsidR="005B7B04" w:rsidRPr="00A94A7A">
        <w:rPr>
          <w:rFonts w:ascii="Calibri" w:hAnsi="Calibri"/>
          <w:sz w:val="22"/>
          <w:szCs w:val="22"/>
        </w:rPr>
        <w:t xml:space="preserve"> plnění </w:t>
      </w:r>
      <w:r w:rsidRPr="00A94A7A">
        <w:rPr>
          <w:rFonts w:ascii="Calibri" w:hAnsi="Calibri"/>
          <w:sz w:val="22"/>
          <w:szCs w:val="22"/>
        </w:rPr>
        <w:t>se pro účely té</w:t>
      </w:r>
      <w:r w:rsidR="00627D17" w:rsidRPr="00A94A7A">
        <w:rPr>
          <w:rFonts w:ascii="Calibri" w:hAnsi="Calibri"/>
          <w:sz w:val="22"/>
          <w:szCs w:val="22"/>
        </w:rPr>
        <w:t xml:space="preserve">to </w:t>
      </w:r>
      <w:r w:rsidRPr="00A94A7A">
        <w:rPr>
          <w:rFonts w:ascii="Calibri" w:hAnsi="Calibri"/>
          <w:sz w:val="22"/>
          <w:szCs w:val="22"/>
        </w:rPr>
        <w:t xml:space="preserve">smlouvy považuje </w:t>
      </w:r>
      <w:r w:rsidR="00B268CE" w:rsidRPr="00C46E9D">
        <w:rPr>
          <w:rFonts w:ascii="Calibri" w:hAnsi="Calibri"/>
          <w:sz w:val="22"/>
          <w:szCs w:val="22"/>
          <w:lang w:val="cs-CZ"/>
        </w:rPr>
        <w:t>sídlo společnosti Brněnské komunikace a.s., Renneská třída 787/</w:t>
      </w:r>
      <w:proofErr w:type="gramStart"/>
      <w:r w:rsidR="00B268CE" w:rsidRPr="00C46E9D">
        <w:rPr>
          <w:rFonts w:ascii="Calibri" w:hAnsi="Calibri"/>
          <w:sz w:val="22"/>
          <w:szCs w:val="22"/>
          <w:lang w:val="cs-CZ"/>
        </w:rPr>
        <w:t>1a</w:t>
      </w:r>
      <w:proofErr w:type="gramEnd"/>
      <w:r w:rsidR="00B268CE" w:rsidRPr="00C46E9D">
        <w:rPr>
          <w:rFonts w:ascii="Calibri" w:hAnsi="Calibri"/>
          <w:sz w:val="22"/>
          <w:szCs w:val="22"/>
          <w:lang w:val="cs-CZ"/>
        </w:rPr>
        <w:t>, Brno</w:t>
      </w:r>
      <w:r w:rsidR="005B7B04" w:rsidRPr="00C46E9D">
        <w:rPr>
          <w:rFonts w:ascii="Calibri" w:hAnsi="Calibri"/>
          <w:sz w:val="22"/>
          <w:szCs w:val="22"/>
        </w:rPr>
        <w:t>.</w:t>
      </w:r>
    </w:p>
    <w:p w14:paraId="01F19C41" w14:textId="02A2E6D6" w:rsidR="00C46E9D" w:rsidRPr="00C46E9D" w:rsidRDefault="004304AA" w:rsidP="00C46E9D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Předmět koupě je</w:t>
      </w:r>
      <w:r w:rsidRPr="00C46E9D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C46E9D">
        <w:rPr>
          <w:rFonts w:ascii="Calibri" w:hAnsi="Calibri"/>
          <w:sz w:val="22"/>
          <w:szCs w:val="22"/>
        </w:rPr>
        <w:t>jméne</w:t>
      </w:r>
      <w:r w:rsidR="00020898" w:rsidRPr="00C46E9D">
        <w:rPr>
          <w:rFonts w:ascii="Calibri" w:hAnsi="Calibri"/>
          <w:sz w:val="22"/>
          <w:szCs w:val="22"/>
        </w:rPr>
        <w:t>m kupujícího</w:t>
      </w:r>
      <w:r w:rsidRPr="00C46E9D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C46E9D">
        <w:rPr>
          <w:rFonts w:ascii="Calibri" w:hAnsi="Calibri"/>
          <w:sz w:val="22"/>
          <w:szCs w:val="22"/>
        </w:rPr>
        <w:t xml:space="preserve"> odebrat (převzít) </w:t>
      </w:r>
      <w:r w:rsidR="00C46E9D" w:rsidRPr="00C46E9D">
        <w:rPr>
          <w:rFonts w:ascii="Calibri" w:hAnsi="Calibri"/>
          <w:sz w:val="22"/>
          <w:szCs w:val="22"/>
        </w:rPr>
        <w:t>Jiří Stratil, tel.: +420 776 647 068 a Jan Matoušek, tel.: +420 737 778 897.</w:t>
      </w:r>
    </w:p>
    <w:p w14:paraId="3D505B31" w14:textId="3E7E4355" w:rsidR="004304AA" w:rsidRPr="00C46E9D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C46E9D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4FF4463E" w:rsidR="00536C36" w:rsidRPr="00C46E9D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0" w:name="_Hlk181268311"/>
      <w:r w:rsidRPr="00C46E9D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2750A7CB" w14:textId="77777777" w:rsidR="00C46E9D" w:rsidRPr="00F15307" w:rsidRDefault="00C46E9D" w:rsidP="00C46E9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F15307">
        <w:rPr>
          <w:rFonts w:ascii="Calibri" w:hAnsi="Calibri"/>
          <w:sz w:val="22"/>
          <w:szCs w:val="22"/>
        </w:rPr>
        <w:t>revizní zprávy,</w:t>
      </w:r>
    </w:p>
    <w:p w14:paraId="5C41CEDE" w14:textId="77777777" w:rsidR="00C46E9D" w:rsidRPr="00F15307" w:rsidRDefault="00C46E9D" w:rsidP="00C46E9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F15307">
        <w:rPr>
          <w:rFonts w:ascii="Calibri" w:hAnsi="Calibri"/>
          <w:sz w:val="22"/>
          <w:szCs w:val="22"/>
        </w:rPr>
        <w:t>dokumentaci skutečného provedení, jež musí obsahovat veškerá schémata a technické parametry zapojení,</w:t>
      </w:r>
    </w:p>
    <w:p w14:paraId="383216B8" w14:textId="6B92D031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úklid, odvoz a likvidace veškerého vzniklého odpadku s doložením dokladů o likvidaci odpadů,</w:t>
      </w:r>
    </w:p>
    <w:p w14:paraId="749E55A0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dodání atestů použitých materiálů a prohlášení o shodě u použitých výrobků, resp. materiálů, stanoví-li to pro tyto výroky právní předpis,</w:t>
      </w:r>
    </w:p>
    <w:p w14:paraId="7947D195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 xml:space="preserve">návody k použití a k obsluze dodaného zboží, </w:t>
      </w:r>
    </w:p>
    <w:p w14:paraId="53404813" w14:textId="014B4F87" w:rsidR="00BC5EDB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ostatní doklady týkající se dodaného zboží vyžadovaného právními nebo jinými obecně závaznými normami nebo touto kupní smlouvou (zejména prohlášení o shodě, zkušební protokoly a certifikáty, záruční listy, návody a manuály, atesty, protokoly o provedených měřeních a příslušná povolení a příslušné souhlasy), a to vše v originále nebo ověřené kopii</w:t>
      </w:r>
      <w:bookmarkEnd w:id="0"/>
      <w:r w:rsidRPr="00C46E9D"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0A3D4528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C46E9D" w:rsidRPr="00C46E9D">
        <w:rPr>
          <w:rFonts w:ascii="Calibri" w:hAnsi="Calibri"/>
          <w:sz w:val="22"/>
          <w:szCs w:val="22"/>
          <w:lang w:val="cs-CZ"/>
        </w:rPr>
        <w:t>24</w:t>
      </w:r>
      <w:r w:rsidRPr="00C46E9D">
        <w:rPr>
          <w:rFonts w:ascii="Calibri" w:hAnsi="Calibri"/>
          <w:sz w:val="22"/>
          <w:szCs w:val="22"/>
        </w:rPr>
        <w:t xml:space="preserve"> </w:t>
      </w:r>
      <w:r w:rsidR="00AA30E4" w:rsidRPr="00C46E9D">
        <w:rPr>
          <w:rFonts w:ascii="Calibri" w:hAnsi="Calibri"/>
          <w:sz w:val="22"/>
          <w:szCs w:val="22"/>
          <w:lang w:val="cs-CZ"/>
        </w:rPr>
        <w:t>měsíců</w:t>
      </w:r>
      <w:r w:rsidRPr="00C46E9D">
        <w:rPr>
          <w:rFonts w:ascii="Calibri" w:hAnsi="Calibri"/>
          <w:sz w:val="22"/>
          <w:szCs w:val="22"/>
        </w:rPr>
        <w:t>.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</w:t>
      </w:r>
      <w:r w:rsidR="00FF1269">
        <w:rPr>
          <w:rFonts w:ascii="Calibri" w:hAnsi="Calibri"/>
          <w:sz w:val="22"/>
          <w:szCs w:val="22"/>
          <w:lang w:val="cs-CZ"/>
        </w:rPr>
        <w:t>m</w:t>
      </w:r>
      <w:r w:rsidR="00DE2423">
        <w:rPr>
          <w:rFonts w:ascii="Calibri" w:hAnsi="Calibri"/>
          <w:sz w:val="22"/>
          <w:szCs w:val="22"/>
        </w:rPr>
        <w:t xml:space="preserve"> zboží kupujícím</w:t>
      </w:r>
      <w:r w:rsidR="00DE2423" w:rsidRPr="009B612B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376CCC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376CCC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76CCC">
        <w:rPr>
          <w:rFonts w:ascii="Calibri" w:hAnsi="Calibri"/>
          <w:sz w:val="22"/>
          <w:szCs w:val="22"/>
          <w:lang w:val="cs-CZ"/>
        </w:rPr>
        <w:t>o</w:t>
      </w:r>
      <w:r w:rsidRPr="00376CCC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76CCC">
        <w:rPr>
          <w:rFonts w:ascii="Calibri" w:hAnsi="Calibri"/>
          <w:sz w:val="22"/>
          <w:szCs w:val="22"/>
          <w:lang w:val="cs-CZ"/>
        </w:rPr>
        <w:t>ch</w:t>
      </w:r>
      <w:r w:rsidRPr="00376CCC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76CCC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76CCC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76CCC">
        <w:rPr>
          <w:rFonts w:ascii="Calibri" w:hAnsi="Calibri"/>
          <w:sz w:val="22"/>
          <w:szCs w:val="22"/>
          <w:lang w:val="cs-CZ"/>
        </w:rPr>
        <w:t>541/2020</w:t>
      </w:r>
      <w:r w:rsidRPr="00376CCC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76CCC">
        <w:rPr>
          <w:rFonts w:ascii="Calibri" w:hAnsi="Calibri"/>
          <w:sz w:val="22"/>
          <w:szCs w:val="22"/>
          <w:lang w:val="cs-CZ"/>
        </w:rPr>
        <w:t>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33D050C3" w14:textId="77777777" w:rsidR="00376CCC" w:rsidRPr="009D474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>
        <w:rPr>
          <w:rFonts w:ascii="Calibri" w:hAnsi="Calibri"/>
          <w:sz w:val="22"/>
          <w:szCs w:val="22"/>
        </w:rPr>
        <w:t>ve lhůtách stanovených touto smlouvou</w:t>
      </w:r>
      <w:bookmarkEnd w:id="4"/>
      <w:r>
        <w:rPr>
          <w:rFonts w:ascii="Calibri" w:hAnsi="Calibri"/>
          <w:sz w:val="22"/>
          <w:szCs w:val="22"/>
        </w:rPr>
        <w:t>, může po něm kupující uplatňovat 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>
        <w:rPr>
          <w:rFonts w:ascii="Calibri" w:hAnsi="Calibri"/>
          <w:sz w:val="22"/>
          <w:szCs w:val="22"/>
        </w:rPr>
        <w:t xml:space="preserve">2 </w:t>
      </w:r>
      <w:r w:rsidRPr="009D474B">
        <w:rPr>
          <w:rFonts w:ascii="Calibri" w:hAnsi="Calibri"/>
          <w:sz w:val="22"/>
          <w:szCs w:val="22"/>
        </w:rPr>
        <w:t>% z</w:t>
      </w:r>
      <w:r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59B7211B" w14:textId="77777777" w:rsidR="00376CCC" w:rsidRPr="00424ECF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24ECF">
        <w:rPr>
          <w:rFonts w:ascii="Calibri" w:hAnsi="Calibri"/>
          <w:sz w:val="22"/>
          <w:szCs w:val="22"/>
        </w:rPr>
        <w:t xml:space="preserve">V případě prodlení prodávajícího s dodáním zboží může po prodávajícím kupující uplatňovat smluvní pokutu ve výši </w:t>
      </w:r>
      <w:proofErr w:type="gramStart"/>
      <w:r w:rsidRPr="00424ECF">
        <w:rPr>
          <w:rFonts w:ascii="Calibri" w:hAnsi="Calibri"/>
          <w:sz w:val="22"/>
          <w:szCs w:val="22"/>
        </w:rPr>
        <w:t>17.000,-</w:t>
      </w:r>
      <w:proofErr w:type="gramEnd"/>
      <w:r w:rsidRPr="00424ECF">
        <w:rPr>
          <w:rFonts w:ascii="Calibri" w:hAnsi="Calibri"/>
          <w:sz w:val="22"/>
          <w:szCs w:val="22"/>
        </w:rPr>
        <w:t xml:space="preserve"> Kč za každý den prodlení.</w:t>
      </w:r>
    </w:p>
    <w:p w14:paraId="617DE199" w14:textId="77777777" w:rsidR="00376CCC" w:rsidRPr="009D474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 případě, že </w:t>
      </w:r>
      <w:r w:rsidRPr="00E34E5D">
        <w:rPr>
          <w:rFonts w:ascii="Calibri" w:hAnsi="Calibri"/>
          <w:sz w:val="22"/>
          <w:szCs w:val="22"/>
        </w:rPr>
        <w:t xml:space="preserve">prodávající poruší své povinnosti dle čl. VII., může po něm kupující uplatňovat smluvní pokutu ve výši </w:t>
      </w:r>
      <w:proofErr w:type="gramStart"/>
      <w:r w:rsidRPr="00E34E5D">
        <w:rPr>
          <w:rFonts w:ascii="Calibri" w:hAnsi="Calibri"/>
          <w:sz w:val="22"/>
          <w:szCs w:val="22"/>
        </w:rPr>
        <w:t>17.000,-</w:t>
      </w:r>
      <w:proofErr w:type="gramEnd"/>
      <w:r w:rsidRPr="00E34E5D">
        <w:rPr>
          <w:rFonts w:ascii="Calibri" w:hAnsi="Calibri"/>
          <w:sz w:val="22"/>
          <w:szCs w:val="22"/>
        </w:rPr>
        <w:t xml:space="preserve"> Kč za</w:t>
      </w:r>
      <w:r w:rsidRPr="009D474B">
        <w:rPr>
          <w:rFonts w:ascii="Calibri" w:hAnsi="Calibri"/>
          <w:sz w:val="22"/>
          <w:szCs w:val="22"/>
        </w:rPr>
        <w:t xml:space="preserve"> každé takové porušení.</w:t>
      </w:r>
    </w:p>
    <w:p w14:paraId="35448DCA" w14:textId="77777777" w:rsidR="00376CCC" w:rsidRPr="00E34E5D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4E5D">
        <w:rPr>
          <w:rFonts w:ascii="Calibri" w:hAnsi="Calibri"/>
          <w:sz w:val="22"/>
          <w:szCs w:val="22"/>
        </w:rPr>
        <w:lastRenderedPageBreak/>
        <w:t xml:space="preserve">Dojde-li ze strany prodávajícího k porušení smluvní povinnosti, která není výslovně zajištěna smluvní pokutou, může po prodávajícím kupující uplatňovat smluvní pokutu ve výši </w:t>
      </w:r>
      <w:proofErr w:type="gramStart"/>
      <w:r w:rsidRPr="00E34E5D">
        <w:rPr>
          <w:rFonts w:ascii="Calibri" w:hAnsi="Calibri"/>
          <w:sz w:val="22"/>
          <w:szCs w:val="22"/>
        </w:rPr>
        <w:t>8.500,-</w:t>
      </w:r>
      <w:proofErr w:type="gramEnd"/>
      <w:r w:rsidRPr="00E34E5D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220044BE" w14:textId="77777777" w:rsidR="00376CCC" w:rsidRPr="00F24ED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>Nároky na náhradu újmy nejsou dotčeny ani kompenzovány zaplacením sankcí dle této smlouvy.</w:t>
      </w:r>
    </w:p>
    <w:p w14:paraId="7F59F600" w14:textId="77777777" w:rsidR="00376CCC" w:rsidRPr="00F24ED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 xml:space="preserve">. </w:t>
      </w: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7FC68C0B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 w:rsidRPr="00376CCC">
        <w:rPr>
          <w:rFonts w:ascii="Calibri" w:hAnsi="Calibri"/>
          <w:sz w:val="22"/>
          <w:szCs w:val="22"/>
        </w:rPr>
        <w:t>než</w:t>
      </w:r>
      <w:r w:rsidR="00321879" w:rsidRPr="00376CCC">
        <w:rPr>
          <w:rFonts w:ascii="Calibri" w:hAnsi="Calibri"/>
          <w:sz w:val="22"/>
          <w:szCs w:val="22"/>
        </w:rPr>
        <w:t xml:space="preserve"> </w:t>
      </w:r>
      <w:r w:rsidR="00A731E3" w:rsidRPr="00376CCC">
        <w:rPr>
          <w:rFonts w:ascii="Calibri" w:hAnsi="Calibri"/>
          <w:sz w:val="22"/>
          <w:szCs w:val="22"/>
        </w:rPr>
        <w:t>3 kalendářní</w:t>
      </w:r>
      <w:r w:rsidR="00321879" w:rsidRPr="00376CCC">
        <w:rPr>
          <w:rFonts w:ascii="Calibri" w:hAnsi="Calibri"/>
          <w:sz w:val="22"/>
          <w:szCs w:val="22"/>
        </w:rPr>
        <w:t xml:space="preserve"> dn</w:t>
      </w:r>
      <w:r w:rsidR="00A731E3" w:rsidRPr="00376CCC">
        <w:rPr>
          <w:rFonts w:ascii="Calibri" w:hAnsi="Calibri"/>
          <w:sz w:val="22"/>
          <w:szCs w:val="22"/>
        </w:rPr>
        <w:t>y</w:t>
      </w:r>
      <w:r w:rsidRPr="00376CCC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Pr="001B25DC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8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5C2DFA72" w14:textId="77777777" w:rsidR="00376CCC" w:rsidRPr="00376CCC" w:rsidRDefault="00376CCC" w:rsidP="00376CCC">
      <w:pPr>
        <w:pStyle w:val="Odstavecseseznamem"/>
        <w:numPr>
          <w:ilvl w:val="0"/>
          <w:numId w:val="13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376CCC">
        <w:rPr>
          <w:rFonts w:ascii="Calibri" w:hAnsi="Calibri"/>
          <w:snapToGrid w:val="0"/>
          <w:color w:val="000000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49583111" w14:textId="146CEDB9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77777777" w:rsidR="003F7BB8" w:rsidRPr="00A94A7A" w:rsidRDefault="00D62A6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Příloha č. 1:</w:t>
      </w:r>
      <w:r w:rsidR="003F7BB8" w:rsidRPr="00376CCC">
        <w:rPr>
          <w:rFonts w:ascii="Calibri" w:hAnsi="Calibri"/>
          <w:sz w:val="22"/>
          <w:szCs w:val="22"/>
        </w:rPr>
        <w:t xml:space="preserve"> Technická specifikace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664A15D5" w14:textId="77777777" w:rsidR="00376CCC" w:rsidRPr="00A94A7A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Pr="00F15307">
        <w:rPr>
          <w:rFonts w:ascii="Calibri" w:hAnsi="Calibri"/>
          <w:sz w:val="22"/>
          <w:szCs w:val="22"/>
          <w:highlight w:val="yellow"/>
        </w:rPr>
        <w:t>…………………………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dne: </w:t>
      </w:r>
      <w:r w:rsidRPr="00F15307">
        <w:rPr>
          <w:rFonts w:ascii="Calibri" w:hAnsi="Calibri"/>
          <w:sz w:val="22"/>
          <w:szCs w:val="22"/>
          <w:highlight w:val="yellow"/>
        </w:rPr>
        <w:t>………</w:t>
      </w:r>
      <w:r w:rsidRPr="00A94A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4334826E" w14:textId="77777777" w:rsidR="00376CCC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07C8349" w14:textId="77777777" w:rsidR="00376CCC" w:rsidRPr="00A94A7A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kupujícího</w:t>
      </w:r>
      <w:r w:rsidRPr="00A94A7A">
        <w:rPr>
          <w:rFonts w:ascii="Calibri" w:hAnsi="Calibri"/>
          <w:sz w:val="22"/>
          <w:szCs w:val="22"/>
        </w:rPr>
        <w:t>:</w:t>
      </w:r>
    </w:p>
    <w:p w14:paraId="53C572BE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8CFBA17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422E0BE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914B171" w14:textId="77777777" w:rsidR="00376CCC" w:rsidRPr="00A94A7A" w:rsidRDefault="00376CCC" w:rsidP="00376CCC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376CCC" w:rsidRPr="00A94A7A" w14:paraId="28CE6E11" w14:textId="77777777" w:rsidTr="00433718">
        <w:tc>
          <w:tcPr>
            <w:tcW w:w="4719" w:type="dxa"/>
          </w:tcPr>
          <w:p w14:paraId="69E7FC69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5307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03CB497A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              ……………………………………………..</w:t>
            </w:r>
          </w:p>
        </w:tc>
      </w:tr>
      <w:tr w:rsidR="00376CCC" w:rsidRPr="00A94A7A" w14:paraId="6DE9AB54" w14:textId="77777777" w:rsidTr="00433718">
        <w:tc>
          <w:tcPr>
            <w:tcW w:w="4719" w:type="dxa"/>
          </w:tcPr>
          <w:p w14:paraId="1261441E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387EE061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Pr="00A94A7A"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7672CCE4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generální ředitel </w:t>
            </w:r>
          </w:p>
          <w:p w14:paraId="2D2B36FF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21B99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6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4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5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6"/>
  </w:num>
  <w:num w:numId="10" w16cid:durableId="1109860590">
    <w:abstractNumId w:val="2"/>
  </w:num>
  <w:num w:numId="11" w16cid:durableId="1700662518">
    <w:abstractNumId w:val="32"/>
  </w:num>
  <w:num w:numId="12" w16cid:durableId="2042321215">
    <w:abstractNumId w:val="31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0"/>
  </w:num>
  <w:num w:numId="26" w16cid:durableId="1040057950">
    <w:abstractNumId w:val="37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7B0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6CCC"/>
    <w:rsid w:val="0037767E"/>
    <w:rsid w:val="00377F32"/>
    <w:rsid w:val="00391712"/>
    <w:rsid w:val="00397310"/>
    <w:rsid w:val="003A011B"/>
    <w:rsid w:val="003B2517"/>
    <w:rsid w:val="003B6F02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0D82"/>
    <w:rsid w:val="00536C36"/>
    <w:rsid w:val="00536FDB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797C"/>
    <w:rsid w:val="006D0197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B3B1A"/>
    <w:rsid w:val="007B411B"/>
    <w:rsid w:val="007D0ABE"/>
    <w:rsid w:val="007D34C8"/>
    <w:rsid w:val="007D3DDF"/>
    <w:rsid w:val="007D714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354D"/>
    <w:rsid w:val="008C7FF4"/>
    <w:rsid w:val="008D1368"/>
    <w:rsid w:val="008E65AC"/>
    <w:rsid w:val="008F217B"/>
    <w:rsid w:val="008F2D28"/>
    <w:rsid w:val="008F30AA"/>
    <w:rsid w:val="008F40A2"/>
    <w:rsid w:val="008F4537"/>
    <w:rsid w:val="00903752"/>
    <w:rsid w:val="00905560"/>
    <w:rsid w:val="00905C6D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6410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46E9D"/>
    <w:rsid w:val="00C60006"/>
    <w:rsid w:val="00C627E9"/>
    <w:rsid w:val="00C63B9E"/>
    <w:rsid w:val="00C9075E"/>
    <w:rsid w:val="00C90792"/>
    <w:rsid w:val="00C9354F"/>
    <w:rsid w:val="00CA0E77"/>
    <w:rsid w:val="00CA5D37"/>
    <w:rsid w:val="00CC05A2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311B0"/>
    <w:rsid w:val="00D323E3"/>
    <w:rsid w:val="00D33B8D"/>
    <w:rsid w:val="00D43318"/>
    <w:rsid w:val="00D44009"/>
    <w:rsid w:val="00D456D9"/>
    <w:rsid w:val="00D464C0"/>
    <w:rsid w:val="00D54A59"/>
    <w:rsid w:val="00D56A18"/>
    <w:rsid w:val="00D61508"/>
    <w:rsid w:val="00D62A61"/>
    <w:rsid w:val="00D62F8C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8489D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</TotalTime>
  <Pages>6</Pages>
  <Words>2301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15313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5</cp:revision>
  <cp:lastPrinted>2025-12-04T10:12:00Z</cp:lastPrinted>
  <dcterms:created xsi:type="dcterms:W3CDTF">2024-10-30T09:22:00Z</dcterms:created>
  <dcterms:modified xsi:type="dcterms:W3CDTF">2025-12-04T10:12:00Z</dcterms:modified>
</cp:coreProperties>
</file>